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1466850</wp:posOffset>
            </wp:positionH>
            <wp:positionV relativeFrom="paragraph">
              <wp:posOffset>114300</wp:posOffset>
            </wp:positionV>
            <wp:extent cx="2847975" cy="661988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2108" l="-8750" r="-8749" t="2210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DEVIS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Mise à jour : 11 février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1.INFORMATIONS GÉNÉRALES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Spectacle : Tout public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Théâtre à l’italienne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Jauge : 3000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Sur la route : 2 à 6 artistes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DURÉE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Durée : 1h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Montage : 6h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Démontage : 1h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SCÈNE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Dimensions minimales de l’espace de jeu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Hauteur : </w:t>
      </w:r>
      <w:r w:rsidDel="00000000" w:rsidR="00000000" w:rsidRPr="00000000">
        <w:rPr>
          <w:color w:val="424242"/>
          <w:highlight w:val="white"/>
          <w:rtl w:val="0"/>
        </w:rPr>
        <w:t xml:space="preserve"> 20 pieds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Largeur : 15 pieds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Profondeur : 15 pieds</w:t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rtl w:val="0"/>
        </w:rPr>
        <w:t xml:space="preserve">Plancher : Bois </w:t>
      </w:r>
      <w:r w:rsidDel="00000000" w:rsidR="00000000" w:rsidRPr="00000000">
        <w:rPr>
          <w:highlight w:val="white"/>
          <w:rtl w:val="0"/>
        </w:rPr>
        <w:t xml:space="preserve"> (Sans revêtement, pas de marley, ni tapis). Dans le cas où le plancher a un revêtement, nous fournissons nos propres mini planches bois (à discuter).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Arrière Scène et coulisses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color w:val="424242"/>
          <w:highlight w:val="white"/>
        </w:rPr>
      </w:pPr>
      <w:r w:rsidDel="00000000" w:rsidR="00000000" w:rsidRPr="00000000">
        <w:rPr>
          <w:color w:val="424242"/>
          <w:highlight w:val="white"/>
          <w:rtl w:val="0"/>
        </w:rPr>
        <w:t xml:space="preserve">L'arrière-scène doit être libre de tout fil et équipement afin de permettre une circulation fluide des artistes. Tout fil présent doit être sécurisé avec du ruban adhésif au sol.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color w:val="424242"/>
          <w:highlight w:val="white"/>
        </w:rPr>
      </w:pPr>
      <w:r w:rsidDel="00000000" w:rsidR="00000000" w:rsidRPr="00000000">
        <w:rPr>
          <w:color w:val="424242"/>
          <w:highlight w:val="white"/>
          <w:rtl w:val="0"/>
        </w:rPr>
        <w:t xml:space="preserve">Les coulisses doivent être dégagées pour permettre le rangement du matériel de cirque entre les numéros.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after="0" w:before="0" w:line="240" w:lineRule="auto"/>
        <w:rPr>
          <w:b w:val="1"/>
        </w:rPr>
      </w:pPr>
      <w:bookmarkStart w:colFirst="0" w:colLast="0" w:name="_f3u22wxeyowu" w:id="0"/>
      <w:bookmarkEnd w:id="0"/>
      <w:r w:rsidDel="00000000" w:rsidR="00000000" w:rsidRPr="00000000">
        <w:rPr>
          <w:b w:val="1"/>
          <w:color w:val="424242"/>
          <w:sz w:val="22"/>
          <w:szCs w:val="22"/>
          <w:rtl w:val="0"/>
        </w:rPr>
        <w:t xml:space="preserve">4.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À fournir par le diffuseur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 technicien de son local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 moniteurs sur scène pour les artistes sur scène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7 micros clip sans fil SM57 (Instruments : 2 Bombos, 1 cajon, 1 darbouka, 1 timbao, 2 boîte à rythmes) ou 2 micros clip sans fil et 1 sur pied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 micro de sol (boundary layer microphones) ou micro sur pied pointant vers le sol (Instruments : boleadoras, bâtons, claquettes-gigue)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 micro sur pieds SM58 (pour parler) ou overhead (cuillères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Liste d’instruments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À fournir par Tempoflo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2 Bombos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 cajon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 darbouka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2 boîtes à rythme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 timbao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 artiste aux claquettes et boleadoras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Bâtons au sol (1 paire par artiste)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Percussion corporelle : Cuillères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Éclairage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1x console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 x Leko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. HORAIRE DE PRODUCTION TYPE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Déchargement la veille ou le matin entre 9h et 10h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8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5175"/>
        <w:tblGridChange w:id="0">
          <w:tblGrid>
            <w:gridCol w:w="3405"/>
            <w:gridCol w:w="51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Temps requis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9h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Arrivée du producteur principal et directeur technique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Arrivée des artistes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10h à 12h 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Mise en place du son et de l’éclairage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12h 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13h à 14h30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Test de son et réchauffement des artistes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15h à 17h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Répétitions sur scène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17h à 18h 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18h 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Appel des artistes (2h avant le spectacle)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19h30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Ouverture des portes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20h 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Spectacle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21h à 22h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Démontage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6.LOGES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À fournir par le diffuseur</w:t>
      </w:r>
    </w:p>
    <w:tbl>
      <w:tblPr>
        <w:tblStyle w:val="Table2"/>
        <w:tblW w:w="87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6930"/>
        <w:tblGridChange w:id="0">
          <w:tblGrid>
            <w:gridCol w:w="1770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 diffuseur s'engage à fournir un lieu adéquat et sécuritaire pour la préparation des artistes afin qu’ils puissent laisser les effets personnels de l'équipe pendant la représentation.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Contenu de la loge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porte 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miroir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 chaises à 6 chaises selon le nombre d’artistes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table accessible pour l’ensemble des artistes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Accès à une toilette et un point d'eau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Restauration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 à 6 bouteilles d’eau recyclables ou distributeur d’eau 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 à 6 jus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Fruits ou légumes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 à 6 repas de type sandwich ou salade (</w:t>
            </w:r>
            <w:r w:rsidDel="00000000" w:rsidR="00000000" w:rsidRPr="00000000">
              <w:rPr>
                <w:color w:val="ff0000"/>
                <w:rtl w:val="0"/>
              </w:rPr>
              <w:t xml:space="preserve">dont 1 végane et sans gluten</w:t>
            </w:r>
            <w:r w:rsidDel="00000000" w:rsidR="00000000" w:rsidRPr="00000000">
              <w:rPr>
                <w:rtl w:val="0"/>
              </w:rPr>
              <w:t xml:space="preserve">)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Stationnement et déchargement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Spectacle local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Stationnement gratuit pour 2 véhicules personnels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tournée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Stationnement gratuit pour (nombre de  véhicules personnels à confirmer selon le nombre d’artistes)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Spectacle où les artistes arrivent à partir d’un aéroport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transport doit être fourni si hors pays entre l’aéroport et l’hôtel et entre l’hôtel et la salle de spectacle et entre tous les lieux de performances et d’atelier pour 3 à 6 artistes (nombre à confirmer)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Hôtel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Idéalement avec un sauna et un gym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artistes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suite avec 2 chambres fermées ou 2 chambres séparées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à 6 artistes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chambres séparées pour les directeurs artistiques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Chambres doubles pour les autres artistes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Écoresponsabilité : Tempoflo fait partie des Artistes Citoyen en Tournée qui a pour mission a pour mission de promouvoir les pratiques écoresponsables dans le milieu des spectacles. Pour plus d’informations : https://act-tour.org/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Coordination technique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Sarah Louis-Jean, 514-224-3920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info@sarahlouisjean.com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ANNEXE.1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Instruments</w:t>
      </w:r>
    </w:p>
    <w:tbl>
      <w:tblPr>
        <w:tblStyle w:val="Table3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3510"/>
        <w:gridCol w:w="3990"/>
        <w:tblGridChange w:id="0">
          <w:tblGrid>
            <w:gridCol w:w="1545"/>
            <w:gridCol w:w="3510"/>
            <w:gridCol w:w="3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Bombo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Tambour argentin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(2 micros sans fil)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23963" cy="1825571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63" cy="18255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Boleadoras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Deux balles attachées à une corde qui créent des rythmes en tapant au sol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(1 ou 2 micros de sol (boundary layer microphones) ou micro sur pied pointant vers le sol)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23963" cy="1707684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63" cy="17076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Boîte à rythme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 cajon joué avec les coudes et plusieurs artistes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76607" cy="1105959"/>
                  <wp:effectExtent b="0" l="0" r="0" t="0"/>
                  <wp:docPr id="3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07" cy="11059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240" w:lineRule="auto"/>
        <w:rPr>
          <w:color w:val="4242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color w:val="424242"/>
          <w:highlight w:val="white"/>
        </w:rPr>
      </w:pPr>
      <w:r w:rsidDel="00000000" w:rsidR="00000000" w:rsidRPr="00000000">
        <w:rPr>
          <w:color w:val="424242"/>
          <w:highlight w:val="white"/>
          <w:rtl w:val="0"/>
        </w:rPr>
        <w:t xml:space="preserve">ANNEXE 2. </w:t>
      </w:r>
    </w:p>
    <w:p w:rsidR="00000000" w:rsidDel="00000000" w:rsidP="00000000" w:rsidRDefault="00000000" w:rsidRPr="00000000" w14:paraId="00000097">
      <w:pPr>
        <w:spacing w:line="240" w:lineRule="auto"/>
        <w:rPr>
          <w:color w:val="424242"/>
          <w:highlight w:val="white"/>
        </w:rPr>
      </w:pPr>
      <w:r w:rsidDel="00000000" w:rsidR="00000000" w:rsidRPr="00000000">
        <w:rPr>
          <w:color w:val="424242"/>
          <w:highlight w:val="white"/>
          <w:rtl w:val="0"/>
        </w:rPr>
        <w:t xml:space="preserve">MATÉRIEL DE CIRQUE </w:t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635"/>
        <w:gridCol w:w="5685"/>
        <w:tblGridChange w:id="0">
          <w:tblGrid>
            <w:gridCol w:w="1680"/>
            <w:gridCol w:w="1635"/>
            <w:gridCol w:w="5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424242"/>
                <w:highlight w:val="white"/>
              </w:rPr>
            </w:pPr>
            <w:r w:rsidDel="00000000" w:rsidR="00000000" w:rsidRPr="00000000">
              <w:rPr>
                <w:color w:val="424242"/>
                <w:highlight w:val="white"/>
                <w:rtl w:val="0"/>
              </w:rPr>
              <w:t xml:space="preserve">Weggsphere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-6 pieds hauteur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-3 pieds diamètre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85938" cy="1193095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38" cy="1193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